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284"/>
      </w:pPr>
      <w:r/>
      <w:r/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Утверждаю: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Заместитель директора–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главный инженер филиала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ПАО «</w:t>
      </w:r>
      <w:r>
        <w:rPr>
          <w:color w:val="000000"/>
          <w:sz w:val="28"/>
          <w:szCs w:val="20"/>
        </w:rPr>
        <w:t xml:space="preserve">Россети</w:t>
      </w:r>
      <w:r>
        <w:rPr>
          <w:color w:val="000000"/>
          <w:sz w:val="28"/>
          <w:szCs w:val="20"/>
        </w:rPr>
        <w:t xml:space="preserve"> Урал»-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«Челябэнерго»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______________В.А. </w:t>
      </w:r>
      <w:r>
        <w:rPr>
          <w:color w:val="000000"/>
          <w:sz w:val="28"/>
          <w:szCs w:val="20"/>
        </w:rPr>
        <w:t xml:space="preserve">Обвинцев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«_</w:t>
      </w:r>
      <w:r>
        <w:rPr>
          <w:color w:val="000000"/>
          <w:sz w:val="28"/>
          <w:szCs w:val="20"/>
        </w:rPr>
        <w:t xml:space="preserve">_»_</w:t>
      </w:r>
      <w:r>
        <w:rPr>
          <w:color w:val="000000"/>
          <w:sz w:val="28"/>
          <w:szCs w:val="20"/>
        </w:rPr>
        <w:t xml:space="preserve">_______________ 2026</w:t>
      </w:r>
      <w:r>
        <w:rPr>
          <w:color w:val="000000"/>
          <w:sz w:val="28"/>
          <w:szCs w:val="20"/>
        </w:rPr>
        <w:t xml:space="preserve"> г.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28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ТЕХНИЧЕСК</w:t>
      </w:r>
      <w:r>
        <w:rPr>
          <w:i w:val="0"/>
          <w:sz w:val="28"/>
          <w:szCs w:val="28"/>
        </w:rPr>
        <w:t xml:space="preserve">ОЕ</w:t>
      </w:r>
      <w:r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  <w:t xml:space="preserve">для организации и проведения </w:t>
      </w:r>
      <w:r>
        <w:rPr>
          <w:b/>
        </w:rPr>
        <w:t xml:space="preserve">сравнения цен в электронной форме</w:t>
      </w:r>
      <w:r>
        <w:rPr>
          <w:b/>
        </w:rPr>
        <w:t xml:space="preserve">,</w:t>
      </w:r>
      <w:r>
        <w:rPr>
          <w:b/>
        </w:rPr>
        <w:t xml:space="preserve"> участниками которого могут быть только субъекты МСП</w:t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  <w:t xml:space="preserve">на пр</w:t>
      </w:r>
      <w:r>
        <w:rPr>
          <w:b/>
        </w:rPr>
        <w:t xml:space="preserve">аво заключения договора </w:t>
      </w:r>
      <w:r>
        <w:rPr>
          <w:b/>
        </w:rPr>
        <w:t xml:space="preserve">на </w:t>
      </w:r>
      <w:r>
        <w:t xml:space="preserve">о</w:t>
      </w:r>
      <w:r>
        <w:t xml:space="preserve">казание услуг по утилизации </w:t>
      </w:r>
      <w:r>
        <w:t xml:space="preserve">промышленных отходов для ПО </w:t>
      </w:r>
      <w:r>
        <w:t xml:space="preserve">«</w:t>
      </w:r>
      <w:r>
        <w:t xml:space="preserve">Магнитогорские электрические сети филиала</w:t>
      </w:r>
      <w:r>
        <w:t xml:space="preserve">»</w:t>
      </w:r>
      <w:r>
        <w:t xml:space="preserve"> </w:t>
      </w:r>
      <w:r>
        <w:br/>
      </w:r>
      <w:r>
        <w:t xml:space="preserve">ПАО «</w:t>
      </w:r>
      <w:r>
        <w:t xml:space="preserve">Россети</w:t>
      </w:r>
      <w:r>
        <w:t xml:space="preserve"> Урал»-«Челябэнерго»</w:t>
      </w:r>
      <w:r>
        <w:rPr>
          <w:b/>
        </w:rPr>
      </w:r>
      <w:r>
        <w:rPr>
          <w:b/>
        </w:rPr>
      </w:r>
    </w:p>
    <w:p>
      <w:pPr>
        <w:pStyle w:val="940"/>
      </w:pPr>
      <w:r/>
      <w:r/>
    </w:p>
    <w:p>
      <w:pPr>
        <w:pStyle w:val="940"/>
      </w:pPr>
      <w:r/>
      <w:r/>
    </w:p>
    <w:p>
      <w:pPr>
        <w:pStyle w:val="940"/>
      </w:pPr>
      <w:r/>
      <w:r/>
    </w:p>
    <w:p>
      <w:pPr>
        <w:pStyle w:val="940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r>
        <w:rPr>
          <w:b/>
          <w:sz w:val="28"/>
          <w:szCs w:val="28"/>
        </w:rPr>
        <w:t xml:space="preserve">Челябинск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2026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28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  <w:highlight w:val="none"/>
        </w:rPr>
        <w:t xml:space="preserve">сравнения цен</w:t>
      </w:r>
      <w:r/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pStyle w:val="940"/>
        <w:ind w:left="0" w:firstLine="0"/>
        <w:jc w:val="both"/>
        <w:rPr>
          <w:b/>
        </w:rPr>
      </w:pPr>
      <w:r>
        <w:t xml:space="preserve">Право заключения до</w:t>
      </w:r>
      <w:r>
        <w:t xml:space="preserve">говора о</w:t>
      </w:r>
      <w:r>
        <w:t xml:space="preserve">казание услуг по </w:t>
      </w:r>
      <w:r>
        <w:t xml:space="preserve">у</w:t>
      </w:r>
      <w:r>
        <w:t xml:space="preserve">тилизаци</w:t>
      </w:r>
      <w:r>
        <w:t xml:space="preserve">и</w:t>
      </w:r>
      <w:r>
        <w:t xml:space="preserve"> промышленных отходов для ПО </w:t>
      </w:r>
      <w:r>
        <w:t xml:space="preserve">«</w:t>
      </w:r>
      <w:r>
        <w:t xml:space="preserve">Магнитогорские </w:t>
      </w:r>
      <w:r>
        <w:t xml:space="preserve">электрические сети</w:t>
      </w:r>
      <w:r>
        <w:t xml:space="preserve">»</w:t>
      </w:r>
      <w:r>
        <w:t xml:space="preserve"> филиала ПАО «</w:t>
      </w:r>
      <w:r>
        <w:t xml:space="preserve">Россети</w:t>
      </w:r>
      <w:r>
        <w:t xml:space="preserve"> Урал»</w:t>
      </w:r>
      <w:r>
        <w:t xml:space="preserve"> </w:t>
      </w:r>
      <w:r>
        <w:t xml:space="preserve">-</w:t>
      </w:r>
      <w:r>
        <w:t xml:space="preserve"> </w:t>
      </w:r>
      <w:r>
        <w:t xml:space="preserve">«Челябэнерго»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highlight w:val="white"/>
        </w:rPr>
      </w:pPr>
      <w:r>
        <w:rPr>
          <w:highlight w:val="white"/>
        </w:rPr>
      </w:r>
      <w:r>
        <w:rPr>
          <w:b w:val="0"/>
          <w:bCs w:val="0"/>
          <w:highlight w:val="white"/>
        </w:rPr>
        <w:t xml:space="preserve">План закупок 2026 года.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line="274" w:lineRule="auto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Челябэнерго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t xml:space="preserve">Россия, Челябинская область</w:t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jc w:val="both"/>
        <w:tabs>
          <w:tab w:val="left" w:pos="709" w:leader="none"/>
        </w:tabs>
      </w:pPr>
      <w:r>
        <w:t xml:space="preserve">Начало </w:t>
      </w:r>
      <w:r>
        <w:t xml:space="preserve">– </w:t>
      </w:r>
      <w:r>
        <w:t xml:space="preserve">с момента заключения договора</w:t>
      </w:r>
      <w:r>
        <w:t xml:space="preserve">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</w:t>
      </w:r>
      <w:r>
        <w:t xml:space="preserve">–</w:t>
      </w:r>
      <w:r>
        <w:t xml:space="preserve"> 30</w:t>
      </w:r>
      <w:r>
        <w:t xml:space="preserve">.12.2026</w:t>
      </w:r>
      <w:r>
        <w:t xml:space="preserve">.</w:t>
      </w:r>
      <w:r>
        <w:t xml:space="preserve"> </w:t>
      </w:r>
      <w:r/>
    </w:p>
    <w:p>
      <w:pPr>
        <w:jc w:val="both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Источник финансирования:</w:t>
      </w:r>
      <w:r>
        <w:t xml:space="preserve"> </w:t>
      </w:r>
      <w:r>
        <w:t xml:space="preserve">себестоимость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380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закупка/лот (</w:t>
            </w:r>
            <w:r>
              <w:rPr>
                <w:sz w:val="20"/>
                <w:szCs w:val="20"/>
                <w:lang w:val="en-US"/>
              </w:rPr>
              <w:t xml:space="preserve">ID</w:t>
            </w:r>
            <w:r>
              <w:rPr>
                <w:sz w:val="20"/>
                <w:szCs w:val="20"/>
              </w:rPr>
              <w:t xml:space="preserve"> 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58038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Утилизация промышленных отходов для ПО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Магнитогорские ЭС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  <w:t xml:space="preserve"> филиала ПАО «</w:t>
            </w:r>
            <w:r>
              <w:rPr>
                <w:sz w:val="20"/>
                <w:szCs w:val="20"/>
              </w:rPr>
              <w:t xml:space="preserve">Россети</w:t>
            </w:r>
            <w:r>
              <w:rPr>
                <w:sz w:val="20"/>
                <w:szCs w:val="20"/>
              </w:rPr>
              <w:t xml:space="preserve"> Урал»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«Челябэнерго»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90 000,00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16 229,51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38.22.29.000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1"/>
        <w:numPr>
          <w:ilvl w:val="1"/>
          <w:numId w:val="2"/>
        </w:numPr>
      </w:pPr>
      <w:r>
        <w:rPr>
          <w:b/>
        </w:rPr>
        <w:t xml:space="preserve">Условия оплаты. </w:t>
      </w:r>
      <w:bookmarkStart w:id="0" w:name="_Toc439063131"/>
      <w:r/>
      <w:bookmarkStart w:id="1" w:name="_Toc8120154"/>
      <w:r/>
      <w:r/>
    </w:p>
    <w:p>
      <w:pPr>
        <w:jc w:val="both"/>
      </w:pPr>
      <w:r>
        <w:t xml:space="preserve">Оплата за выполненные работы/оказанные услуги производится по безналичному расчету путем перечисления денежных средств на расчетный счет Исполнител</w:t>
      </w:r>
      <w:r>
        <w:t xml:space="preserve">я в течение </w:t>
      </w:r>
      <w:r>
        <w:t xml:space="preserve">7 (семи</w:t>
      </w:r>
      <w:r>
        <w:t xml:space="preserve">) </w:t>
      </w:r>
      <w:r>
        <w:t xml:space="preserve">рабочих </w:t>
      </w:r>
      <w:r>
        <w:t xml:space="preserve">дней </w:t>
      </w:r>
      <w:r>
        <w:t xml:space="preserve">со дня подписания Заказчиком документа о приемке выполненных работ/оказанных услуг при наличии подписанного Сторонами Договора выполнения работ/оказания услуг в оригинале, в соответствии с п.</w:t>
      </w:r>
      <w:r>
        <w:t xml:space="preserve">2.2.</w:t>
      </w:r>
      <w:r>
        <w:t xml:space="preserve"> Договора (Приложение №</w:t>
      </w:r>
      <w:r>
        <w:t xml:space="preserve">2</w:t>
      </w:r>
      <w:r>
        <w:t xml:space="preserve"> к настоящему ТЗ).</w:t>
      </w:r>
      <w:r/>
    </w:p>
    <w:p>
      <w:pPr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ведению работ/оказанию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договором </w:t>
      </w:r>
      <w:r>
        <w:t xml:space="preserve">выполнения </w:t>
      </w:r>
      <w:r>
        <w:t xml:space="preserve">оказания услуг</w:t>
      </w:r>
      <w:r>
        <w:t xml:space="preserve"> (Приложение №</w:t>
      </w:r>
      <w:r>
        <w:t xml:space="preserve">2</w:t>
      </w:r>
      <w:r>
        <w:t xml:space="preserve"> к настоящему ТЗ)</w:t>
      </w:r>
      <w:r>
        <w:t xml:space="preserve">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требований, действующих РД, СП, СНиП, требованиями ПУЭ, действующим законодательством Российской Федерации.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highlight w:val="none"/>
        </w:rPr>
        <w:t xml:space="preserve">И</w:t>
      </w:r>
      <w:r>
        <w:rPr>
          <w:highlight w:val="white"/>
        </w:rPr>
        <w:t xml:space="preserve">сполнитель должен самостоятельно (без привлечения субподрядчиков) оказывать услуги, общая стоимость которых должна составлять не менее 50% от цены, указанной в заявке, без учета стоимости материалов и оборудования, приобретаемых Исполнителем</w:t>
      </w:r>
      <w:r>
        <w:rPr>
          <w:highlight w:val="white"/>
        </w:rPr>
        <w:t xml:space="preserve">.</w:t>
      </w:r>
      <w:r>
        <w:rPr>
          <w:highlight w:val="none"/>
        </w:rPr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3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74"/>
        <w:numPr>
          <w:ilvl w:val="1"/>
          <w:numId w:val="2"/>
        </w:numPr>
        <w:ind w:left="0" w:firstLine="0"/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41"/>
        <w:numPr>
          <w:ilvl w:val="2"/>
          <w:numId w:val="2"/>
        </w:numPr>
        <w:ind w:left="0" w:firstLine="0"/>
        <w:rPr>
          <w:rFonts w:eastAsia="MS Mincho"/>
          <w:szCs w:val="20"/>
          <w:lang w:eastAsia="ja-JP"/>
        </w:rPr>
      </w:pPr>
      <w:r>
        <w:rPr>
          <w:rFonts w:eastAsia="MS Mincho"/>
          <w:lang w:eastAsia="ja-JP"/>
        </w:rPr>
        <w:t xml:space="preserve">Техн</w:t>
      </w:r>
      <w:r>
        <w:rPr>
          <w:rFonts w:eastAsia="MS Mincho"/>
          <w:szCs w:val="20"/>
          <w:lang w:eastAsia="ja-JP"/>
        </w:rPr>
        <w:t xml:space="preserve">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lang w:eastAsia="ja-JP"/>
        </w:rPr>
      </w:r>
      <w:r>
        <w:rPr>
          <w:rFonts w:eastAsia="MS Mincho"/>
          <w:szCs w:val="20"/>
          <w:lang w:eastAsia="ja-JP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Иметь в составе заявки комплект документов, </w:t>
      </w:r>
      <w:r>
        <w:rPr>
          <w:rFonts w:eastAsia="MS Mincho"/>
          <w:lang w:eastAsia="ja-JP"/>
        </w:rPr>
        <w:t xml:space="preserve">перечисленный в п.3</w:t>
      </w:r>
      <w:r>
        <w:rPr>
          <w:rFonts w:eastAsia="MS Mincho"/>
          <w:lang w:eastAsia="ja-JP"/>
        </w:rPr>
        <w:t xml:space="preserve"> </w:t>
      </w:r>
      <w:r>
        <w:t xml:space="preserve">настоящего </w:t>
      </w:r>
      <w:r>
        <w:rPr>
          <w:rFonts w:eastAsia="MS Mincho"/>
          <w:lang w:eastAsia="ja-JP"/>
        </w:rPr>
        <w:t xml:space="preserve">ТЗ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SimSun"/>
        </w:rPr>
      </w:pPr>
      <w:r>
        <w:t xml:space="preserve">Участником закупки могут быть только су</w:t>
      </w:r>
      <w: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SimSun"/>
        </w:rPr>
      </w:pPr>
      <w:r>
        <w:rPr>
          <w:rFonts w:eastAsia="SimSun"/>
        </w:rPr>
        <w:t xml:space="preserve"> Наличие л</w:t>
      </w:r>
      <w:r>
        <w:rPr>
          <w:rFonts w:eastAsia="SimSun"/>
        </w:rPr>
        <w:t xml:space="preserve">ицензи</w:t>
      </w:r>
      <w:r>
        <w:rPr>
          <w:rFonts w:eastAsia="SimSun"/>
        </w:rPr>
        <w:t xml:space="preserve">и</w:t>
      </w:r>
      <w:r>
        <w:rPr>
          <w:rFonts w:eastAsia="SimSun"/>
        </w:rPr>
        <w:t xml:space="preserve"> </w:t>
      </w:r>
      <w:r>
        <w:rPr>
          <w:rFonts w:eastAsia="SimSun"/>
        </w:rPr>
        <w:t xml:space="preserve">на осуществление </w:t>
      </w:r>
      <w:r>
        <w:rPr>
          <w:rFonts w:eastAsia="SimSun"/>
        </w:rPr>
        <w:t xml:space="preserve">деятельности по</w:t>
      </w:r>
      <w:r>
        <w:rPr>
          <w:rFonts w:eastAsia="SimSun"/>
        </w:rPr>
        <w:t xml:space="preserve"> сбору, транспортированию,</w:t>
      </w:r>
      <w:r>
        <w:rPr>
          <w:rFonts w:eastAsia="SimSun"/>
        </w:rPr>
        <w:t xml:space="preserve"> обработке, утилизации, обезвреживанию, размещению отходов I - IV классов опасности</w:t>
      </w:r>
      <w:r>
        <w:rPr>
          <w:rFonts w:eastAsia="SimSun"/>
        </w:rPr>
        <w:t xml:space="preserve"> или </w:t>
      </w:r>
      <w:r>
        <w:rPr>
          <w:rFonts w:eastAsia="SimSun"/>
        </w:rPr>
        <w:t xml:space="preserve">наличие заключенного </w:t>
      </w:r>
      <w:r>
        <w:rPr>
          <w:rFonts w:eastAsia="SimSun"/>
        </w:rPr>
        <w:t xml:space="preserve">договора с лицензированной организацией</w:t>
      </w:r>
      <w:r>
        <w:rPr>
          <w:rFonts w:eastAsia="SimSun"/>
        </w:rPr>
        <w:t xml:space="preserve"> на следующие виды отходов:</w:t>
      </w:r>
      <w:r>
        <w:rPr>
          <w:rFonts w:eastAsia="SimSun"/>
        </w:rPr>
      </w:r>
      <w:r>
        <w:rPr>
          <w:rFonts w:eastAsia="SimSun"/>
        </w:rPr>
      </w:r>
    </w:p>
    <w:tbl>
      <w:tblPr>
        <w:tblStyle w:val="982"/>
        <w:tblW w:w="9776" w:type="dxa"/>
        <w:tblLook w:val="04A0" w:firstRow="1" w:lastRow="0" w:firstColumn="1" w:lastColumn="0" w:noHBand="0" w:noVBand="1"/>
      </w:tblPr>
      <w:tblGrid>
        <w:gridCol w:w="7508"/>
        <w:gridCol w:w="2268"/>
      </w:tblGrid>
      <w:tr>
        <w:tblPrEx/>
        <w:trPr>
          <w:trHeight w:val="676"/>
        </w:trPr>
        <w:tc>
          <w:tcPr>
            <w:tcW w:w="7508" w:type="dxa"/>
            <w:textDirection w:val="lrTb"/>
            <w:noWrap w:val="false"/>
          </w:tcPr>
          <w:p>
            <w:pPr>
              <w:jc w:val="center"/>
              <w:spacing w:after="60" w:line="283" w:lineRule="exac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Наименование 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60" w:line="283" w:lineRule="exac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ФККО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Обтирочный материал, загрязненный нефтью или нефтепродуктами (содержание нефти или нефтепродуктов 15% и более)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91920401603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Фильтры очистки масла автотранспортных средств отработанные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92130201523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Силикагель отработанный, загрязненный нефтью и нефтепродуктами (содержание нефтепродуктов 15% и более)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44250311293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Светодиодные лампы, утратившие потребительские свойства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48241501524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75"/>
        <w:numPr>
          <w:ilvl w:val="0"/>
          <w:numId w:val="0"/>
        </w:numPr>
        <w:contextualSpacing/>
        <w:tabs>
          <w:tab w:val="left" w:pos="709" w:leader="none"/>
        </w:tabs>
        <w:rPr>
          <w:rFonts w:eastAsia="SimSun"/>
        </w:rPr>
      </w:pPr>
      <w:r>
        <w:rPr>
          <w:rFonts w:eastAsia="SimSun"/>
        </w:rPr>
      </w:r>
      <w:r>
        <w:rPr>
          <w:rFonts w:eastAsia="SimSun"/>
        </w:rPr>
      </w:r>
      <w:r>
        <w:rPr>
          <w:rFonts w:eastAsia="SimSun"/>
        </w:rPr>
      </w:r>
    </w:p>
    <w:p>
      <w:pPr>
        <w:pStyle w:val="973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41"/>
        <w:numPr>
          <w:ilvl w:val="1"/>
          <w:numId w:val="2"/>
        </w:numPr>
        <w:ind w:left="0" w:firstLine="0"/>
        <w:jc w:val="both"/>
        <w:rPr>
          <w:szCs w:val="20"/>
        </w:rPr>
      </w:pPr>
      <w:r>
        <w:rPr>
          <w:szCs w:val="20"/>
        </w:rPr>
        <w:t xml:space="preserve">Техническое пр</w:t>
      </w:r>
      <w:r>
        <w:rPr>
          <w:szCs w:val="20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В составе ценового предложения Участник должен предоставить Приложение №4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№4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Несоответствие Расчета стоимости работ/ услуг,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41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65"/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5"/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bookmarkEnd w:id="0"/>
      <w:r/>
      <w:bookmarkEnd w:id="1"/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pStyle w:val="94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2" w:name="_Toc439063132"/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3" w:name="_Toc8120155"/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3"/>
      <w:r>
        <w:t xml:space="preserve">Проект договора (форма).</w:t>
      </w:r>
      <w:r>
        <w:rPr>
          <w:i/>
        </w:rPr>
        <w:t xml:space="preserve"> </w:t>
      </w:r>
      <w:bookmarkEnd w:id="2"/>
      <w:r>
        <w:rPr>
          <w:i/>
        </w:rPr>
      </w:r>
      <w:r>
        <w:rPr>
          <w:i/>
        </w:rPr>
      </w:r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3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</w:t>
      </w:r>
      <w:r>
        <w:t xml:space="preserve">/ услуг</w:t>
      </w:r>
      <w:r>
        <w:t xml:space="preserve">.</w:t>
      </w:r>
      <w:r/>
    </w:p>
    <w:p>
      <w:pPr>
        <w:pStyle w:val="941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</w:rPr>
        <w:sectPr>
          <w:footerReference w:type="default" r:id="rId11"/>
          <w:footnotePr/>
          <w:endnotePr/>
          <w:type w:val="nextPage"/>
          <w:pgSz w:w="11906" w:h="16838" w:orient="portrait"/>
          <w:pgMar w:top="567" w:right="709" w:bottom="567" w:left="1418" w:header="709" w:footer="709" w:gutter="0"/>
          <w:cols w:num="1" w:sep="0" w:space="708" w:equalWidth="1"/>
          <w:docGrid w:linePitch="360"/>
        </w:sect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</w:rPr>
      </w:r>
      <w:r>
        <w:rPr>
          <w:b/>
        </w:rPr>
      </w:r>
    </w:p>
    <w:p>
      <w:pPr>
        <w:jc w:val="right"/>
        <w:pageBreakBefore/>
      </w:pPr>
      <w:r>
        <w:t xml:space="preserve">Приложение 1 </w:t>
      </w:r>
      <w:r>
        <w:t xml:space="preserve">к Техническому заданию </w:t>
      </w:r>
      <w:r/>
    </w:p>
    <w:p>
      <w:pPr>
        <w:pStyle w:val="96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(обязательное)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оказание услуг по утилизации </w:t>
      </w:r>
      <w:r>
        <w:rPr>
          <w:sz w:val="28"/>
          <w:szCs w:val="28"/>
        </w:rPr>
        <w:t xml:space="preserve">промышленных отходов для ПО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Магнитогорские</w:t>
      </w:r>
      <w:r>
        <w:rPr>
          <w:sz w:val="28"/>
          <w:szCs w:val="28"/>
        </w:rPr>
        <w:t xml:space="preserve"> электрические сети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1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0142"/>
        <w:gridCol w:w="5998"/>
      </w:tblGrid>
      <w:tr>
        <w:tblPrEx/>
        <w:trPr>
          <w:jc w:val="center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r/>
            <w:bookmarkStart w:id="4" w:name="l55"/>
            <w:r/>
            <w:bookmarkEnd w:id="4"/>
            <w:r>
              <w:t xml:space="preserve">Начальная (максимальная) цена договора 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r>
              <w:t xml:space="preserve">90 000,00</w:t>
            </w:r>
            <w:r>
              <w:t xml:space="preserve"> рублей c НДС 22%</w:t>
            </w:r>
            <w:r/>
          </w:p>
        </w:tc>
      </w:tr>
      <w:tr>
        <w:tblPrEx/>
        <w:trPr>
          <w:jc w:val="center"/>
          <w:trHeight w:val="291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r>
              <w:t xml:space="preserve">Используемый метод определения начальной (максимальной) цены договора  с обоснованием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pPr>
              <w:pStyle w:val="965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70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pPr>
              <w:widowControl w:val="off"/>
            </w:pPr>
            <w: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r>
              <w:t xml:space="preserve">Единый стандарт закупок ПАО «</w:t>
            </w:r>
            <w:r>
              <w:t xml:space="preserve">Россети</w:t>
            </w:r>
            <w:r>
              <w:t xml:space="preserve">» (положение о закупке)</w:t>
            </w:r>
            <w:r/>
          </w:p>
        </w:tc>
      </w:tr>
    </w:tbl>
    <w:p>
      <w:pPr>
        <w:spacing w:before="240" w:after="240"/>
        <w:shd w:val="clear" w:color="auto" w:fill="ffffff"/>
        <w:rPr>
          <w:sz w:val="28"/>
          <w:szCs w:val="28"/>
        </w:rPr>
      </w:pPr>
      <w:r>
        <w:t xml:space="preserve">Расчет начальной (максимальной) цены договора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122" w:type="pct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5"/>
        <w:gridCol w:w="992"/>
        <w:gridCol w:w="992"/>
        <w:gridCol w:w="1843"/>
        <w:gridCol w:w="1843"/>
        <w:gridCol w:w="1843"/>
        <w:gridCol w:w="1701"/>
        <w:gridCol w:w="1843"/>
        <w:gridCol w:w="1767"/>
      </w:tblGrid>
      <w:tr>
        <w:tblPrEx/>
        <w:trPr>
          <w:trHeight w:val="427"/>
        </w:trPr>
        <w:tc>
          <w:tcPr>
            <w:shd w:val="clear" w:color="ffffff" w:fill="ffffff"/>
            <w:tcW w:w="32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</w:t>
            </w:r>
            <w:r>
              <w:rPr>
                <w:bCs/>
                <w:sz w:val="22"/>
                <w:szCs w:val="22"/>
              </w:rPr>
              <w:t xml:space="preserve">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Объем продукции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6"/>
            <w:shd w:val="clear" w:color="ffffff" w:fill="ffffff"/>
            <w:tcW w:w="108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Ценовая информация, руб.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tcW w:w="3265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Ед. изм.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61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tcW w:w="326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7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780"/>
        </w:trPr>
        <w:tc>
          <w:tcPr>
            <w:shd w:val="clear" w:color="ffffff" w:fill="ffffff"/>
            <w:tcW w:w="3265" w:type="dxa"/>
            <w:textDirection w:val="lrTb"/>
            <w:noWrap w:val="false"/>
          </w:tcPr>
          <w:p>
            <w:pPr>
              <w:jc w:val="both"/>
              <w:rPr>
                <w:b/>
                <w:i/>
              </w:rPr>
            </w:pPr>
            <w:r>
              <w:t xml:space="preserve">Оказание </w:t>
            </w:r>
            <w:r>
              <w:t xml:space="preserve">услуг по утилизации </w:t>
            </w:r>
            <w:r>
              <w:t xml:space="preserve">промышленных отходов для ПО </w:t>
            </w:r>
            <w:r>
              <w:t xml:space="preserve">«</w:t>
            </w:r>
            <w:r>
              <w:t xml:space="preserve">Магнитогорские ЭС</w:t>
            </w:r>
            <w:r>
              <w:t xml:space="preserve">»</w:t>
            </w:r>
            <w:r>
              <w:t xml:space="preserve"> филиала ПАО «</w:t>
            </w:r>
            <w:r>
              <w:t xml:space="preserve">Россети</w:t>
            </w:r>
            <w:r>
              <w:t xml:space="preserve"> Урал»</w:t>
            </w:r>
            <w:r>
              <w:t xml:space="preserve"> </w:t>
            </w:r>
            <w:r>
              <w:t xml:space="preserve">-</w:t>
            </w:r>
            <w:r>
              <w:t xml:space="preserve"> </w:t>
            </w:r>
            <w:r>
              <w:t xml:space="preserve">«Челябэнерго»</w:t>
            </w:r>
            <w:r>
              <w:t xml:space="preserve"> </w:t>
            </w:r>
            <w:r>
              <w:t xml:space="preserve">– </w:t>
            </w:r>
            <w:r>
              <w:rPr>
                <w:b/>
                <w:i/>
              </w:rPr>
              <w:t xml:space="preserve">лот № </w:t>
            </w:r>
            <w:r>
              <w:t xml:space="preserve">58038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Тонна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green"/>
              </w:rPr>
            </w:pPr>
            <w:r>
              <w:rPr>
                <w:sz w:val="22"/>
              </w:rPr>
            </w:r>
            <w:r>
              <w:rPr>
                <w:sz w:val="22"/>
              </w:rPr>
              <w:t xml:space="preserve">73</w:t>
            </w:r>
            <w:r>
              <w:rPr>
                <w:sz w:val="22"/>
              </w:rPr>
              <w:t xml:space="preserve"> 770</w:t>
            </w:r>
            <w:r>
              <w:rPr>
                <w:sz w:val="22"/>
              </w:rPr>
              <w:t xml:space="preserve">,49</w:t>
            </w:r>
            <w:r>
              <w:rPr>
                <w:sz w:val="22"/>
                <w:highlight w:val="green"/>
              </w:rPr>
            </w:r>
            <w:r>
              <w:rPr>
                <w:sz w:val="22"/>
                <w:highlight w:val="green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0</w:t>
            </w:r>
            <w:r>
              <w:rPr>
                <w:sz w:val="22"/>
              </w:rPr>
              <w:t xml:space="preserve">00,00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92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757</w:t>
            </w:r>
            <w:r>
              <w:rPr>
                <w:sz w:val="22"/>
              </w:rPr>
              <w:t xml:space="preserve">,34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113</w:t>
            </w:r>
            <w:r>
              <w:rPr>
                <w:sz w:val="22"/>
              </w:rPr>
              <w:t xml:space="preserve"> 163</w:t>
            </w:r>
            <w:r>
              <w:rPr>
                <w:sz w:val="22"/>
              </w:rPr>
              <w:t xml:space="preserve">,95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155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806</w:t>
            </w:r>
            <w:r>
              <w:rPr>
                <w:sz w:val="22"/>
              </w:rPr>
              <w:t xml:space="preserve">,24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190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083</w:t>
            </w:r>
            <w:r>
              <w:rPr>
                <w:sz w:val="22"/>
              </w:rPr>
              <w:t xml:space="preserve">,61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hd w:val="clear" w:color="auto" w:fill="ffffff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1418" w:right="567" w:bottom="709" w:left="567" w:header="709" w:footer="709" w:gutter="0"/>
          <w:cols w:num="1" w:sep="0" w:space="708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right"/>
        <w:pageBreakBefore/>
        <w:tabs>
          <w:tab w:val="left" w:pos="993" w:leader="none"/>
        </w:tabs>
      </w:pPr>
      <w:r/>
      <w:bookmarkStart w:id="5" w:name="_Toc536483690"/>
      <w:r/>
      <w:bookmarkStart w:id="6" w:name="_Toc536628829"/>
      <w:r/>
      <w:bookmarkStart w:id="7" w:name="_Toc2757058"/>
      <w:r>
        <w:t xml:space="preserve">Приложение №3 к Техническому заданию </w:t>
      </w:r>
      <w:r/>
    </w:p>
    <w:p>
      <w:pPr>
        <w:pStyle w:val="940"/>
        <w:jc w:val="center"/>
        <w:rPr>
          <w:b/>
        </w:rPr>
      </w:pPr>
      <w:r>
        <w:rPr>
          <w:b/>
        </w:rPr>
      </w:r>
      <w:bookmarkEnd w:id="5"/>
      <w:r/>
      <w:bookmarkEnd w:id="6"/>
      <w:r/>
      <w:bookmarkEnd w:id="7"/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40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i/>
          <w:iCs/>
          <w:sz w:val="20"/>
          <w:szCs w:val="20"/>
          <w:highlight w:val="none"/>
        </w:rPr>
      </w:r>
      <w:r>
        <w:rPr>
          <w:b/>
          <w:i/>
          <w:iCs/>
          <w:sz w:val="20"/>
          <w:szCs w:val="20"/>
          <w:highlight w:val="non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Выше приведена форма титульного листа Технического предложения участника. 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</w:t>
      </w:r>
      <w:r>
        <w:rPr>
          <w:i/>
          <w:iCs/>
          <w:sz w:val="20"/>
          <w:szCs w:val="20"/>
          <w:highlight w:val="white"/>
        </w:rPr>
        <w:t xml:space="preserve">к закупки приводит номер и дату письма о подаче оферты, приложением к которому является данная форма.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whit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  <w:t xml:space="preserve">Участник в Техническом предложении должен подтвердить свое согласие с требованиями Технической части (технического задания)</w:t>
      </w:r>
      <w:r>
        <w:rPr>
          <w:i/>
          <w:iCs/>
          <w:sz w:val="20"/>
          <w:szCs w:val="20"/>
          <w:highlight w:val="white"/>
        </w:rPr>
        <w:t xml:space="preserve">, </w:t>
      </w:r>
      <w:r>
        <w:rPr>
          <w:i/>
          <w:iCs/>
          <w:sz w:val="20"/>
          <w:szCs w:val="20"/>
          <w:highlight w:val="white"/>
        </w:rPr>
        <w:t xml:space="preserve">Проекта</w:t>
      </w:r>
      <w:r>
        <w:rPr>
          <w:i/>
          <w:iCs/>
          <w:sz w:val="20"/>
          <w:szCs w:val="20"/>
          <w:highlight w:val="white"/>
        </w:rPr>
        <w:t xml:space="preserve"> дого</w:t>
      </w:r>
      <w:r>
        <w:rPr>
          <w:i/>
          <w:iCs/>
          <w:sz w:val="20"/>
          <w:szCs w:val="20"/>
          <w:highlight w:val="white"/>
        </w:rPr>
        <w:t xml:space="preserve">вора</w:t>
      </w:r>
      <w:r>
        <w:rPr>
          <w:i/>
          <w:iCs/>
          <w:sz w:val="20"/>
          <w:szCs w:val="20"/>
          <w:highlight w:val="white"/>
        </w:rPr>
        <w:t xml:space="preserve">.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bCs/>
          <w:i/>
          <w:iCs/>
          <w:sz w:val="20"/>
          <w:szCs w:val="20"/>
          <w:highlight w:val="white"/>
        </w:rPr>
        <w:t xml:space="preserve">Указание формулировки «В соответствии с техническим заданием заказчика», а также копирование текс</w:t>
      </w:r>
      <w:r>
        <w:rPr>
          <w:bCs/>
          <w:i/>
          <w:iCs/>
          <w:sz w:val="20"/>
          <w:szCs w:val="20"/>
          <w:highlight w:val="white"/>
        </w:rPr>
        <w:t xml:space="preserve">та технического задания не приемлемо и является нарушением порядка оформления документа.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ind w:left="5387"/>
        <w:pageBreakBefore/>
      </w:pPr>
      <w:r>
        <w:t xml:space="preserve">Приложение №</w:t>
      </w:r>
      <w:r>
        <w:t xml:space="preserve">4</w:t>
      </w:r>
      <w:r>
        <w:t xml:space="preserve"> </w:t>
      </w:r>
      <w:r>
        <w:t xml:space="preserve">к Техническому заданию</w:t>
      </w:r>
      <w:r>
        <w:t xml:space="preserve"> </w:t>
      </w:r>
      <w:r/>
    </w:p>
    <w:p>
      <w:pPr>
        <w:pStyle w:val="953"/>
        <w:ind w:firstLine="39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3"/>
        <w:ind w:firstLine="39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6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/услуг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531"/>
        <w:gridCol w:w="2583"/>
        <w:gridCol w:w="850"/>
        <w:gridCol w:w="1559"/>
        <w:gridCol w:w="1418"/>
        <w:gridCol w:w="1417"/>
        <w:gridCol w:w="1401"/>
        <w:gridCol w:w="19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Кол</w:t>
            </w:r>
            <w:r>
              <w:rPr>
                <w:bCs/>
                <w:sz w:val="22"/>
                <w:szCs w:val="22"/>
              </w:rPr>
              <w:t xml:space="preserve">-</w:t>
            </w:r>
            <w:r>
              <w:rPr>
                <w:bCs/>
                <w:sz w:val="22"/>
                <w:szCs w:val="22"/>
              </w:rPr>
              <w:t xml:space="preserve">во,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тн</w:t>
            </w:r>
            <w:r>
              <w:rPr>
                <w:bCs/>
                <w:sz w:val="22"/>
                <w:szCs w:val="22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за </w:t>
            </w:r>
            <w:r>
              <w:rPr>
                <w:bCs/>
                <w:sz w:val="22"/>
                <w:szCs w:val="22"/>
              </w:rPr>
              <w:t xml:space="preserve">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без НДС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за </w:t>
            </w:r>
            <w:r>
              <w:rPr>
                <w:bCs/>
                <w:sz w:val="22"/>
                <w:szCs w:val="22"/>
              </w:rPr>
              <w:t xml:space="preserve">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с НДС 22%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</w:t>
            </w:r>
            <w:r>
              <w:rPr>
                <w:bCs/>
                <w:sz w:val="22"/>
                <w:szCs w:val="22"/>
              </w:rPr>
              <w:t xml:space="preserve"> руб. без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</w:t>
            </w:r>
            <w:r>
              <w:rPr>
                <w:bCs/>
                <w:sz w:val="22"/>
                <w:szCs w:val="22"/>
              </w:rPr>
              <w:t xml:space="preserve">руб. с НДС 22%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80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Обтирочный материал, загрязненный нефтью или нефтепродуктами (содержание нефти или нефтепродуктов 15% и более)</w:t>
            </w: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sz w:val="22"/>
                <w:szCs w:val="22"/>
                <w:highlight w:val="none"/>
              </w:rPr>
              <w:t xml:space="preserve">9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19</w:t>
            </w:r>
            <w:r>
              <w:rPr>
                <w:sz w:val="22"/>
                <w:szCs w:val="22"/>
                <w:highlight w:val="none"/>
              </w:rPr>
              <w:t xml:space="preserve"> 2</w:t>
            </w:r>
            <w:r>
              <w:rPr>
                <w:sz w:val="22"/>
                <w:szCs w:val="22"/>
                <w:highlight w:val="none"/>
              </w:rPr>
              <w:t xml:space="preserve">04</w:t>
            </w:r>
            <w:r>
              <w:rPr>
                <w:sz w:val="22"/>
                <w:szCs w:val="22"/>
                <w:highlight w:val="none"/>
              </w:rPr>
              <w:t xml:space="preserve"> 0</w:t>
            </w: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60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3)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6 557,7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8 000,4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5 377,3</w:t>
            </w:r>
            <w:r>
              <w:rPr>
                <w:color w:val="000000"/>
                <w:highlight w:val="none"/>
              </w:rPr>
              <w:t xml:space="preserve">1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6 560,3</w:t>
            </w:r>
            <w:r>
              <w:rPr>
                <w:color w:val="000000"/>
                <w:highlight w:val="none"/>
              </w:rPr>
              <w:t xml:space="preserve">2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Фильтры очистки масла автотранспортных средств отработанные</w:t>
            </w: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sz w:val="22"/>
                <w:szCs w:val="22"/>
                <w:highlight w:val="none"/>
              </w:rPr>
              <w:t xml:space="preserve">9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21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302</w:t>
            </w:r>
            <w:r>
              <w:rPr>
                <w:sz w:val="22"/>
                <w:szCs w:val="22"/>
                <w:highlight w:val="none"/>
              </w:rPr>
              <w:t xml:space="preserve"> 0</w:t>
            </w: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52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3)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1 4262,3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17 400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975,54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1 190,16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10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Силикагель отработанный, загрязненный нефтью и нефтепродуктами (содержание нефти или нефтепродуктов 15% и более)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42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503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11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29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3)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5 943,44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7 251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594,34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725,1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8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Светодиодные лампы, утратившие потребительские свойства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color w:val="000000"/>
                <w:highlight w:val="none"/>
              </w:rPr>
              <w:t xml:space="preserve">4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82</w:t>
            </w:r>
            <w:r>
              <w:rPr>
                <w:color w:val="000000"/>
                <w:highlight w:val="none"/>
              </w:rPr>
              <w:t xml:space="preserve"> </w:t>
            </w:r>
            <w:r>
              <w:rPr>
                <w:color w:val="000000"/>
                <w:highlight w:val="none"/>
              </w:rPr>
              <w:t xml:space="preserve">415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01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52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  <w:t xml:space="preserve">)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20 001,64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24 402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521,04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635,67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8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Отходы полиэтиленовой тары незагрязненной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color w:val="000000"/>
                <w:highlight w:val="none"/>
              </w:rPr>
              <w:t xml:space="preserve">4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34</w:t>
            </w:r>
            <w:r>
              <w:rPr>
                <w:color w:val="000000"/>
                <w:highlight w:val="none"/>
              </w:rPr>
              <w:t xml:space="preserve"> </w:t>
            </w:r>
            <w:r>
              <w:rPr>
                <w:color w:val="000000"/>
                <w:highlight w:val="none"/>
              </w:rPr>
              <w:t xml:space="preserve">110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04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51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  <w:t xml:space="preserve">)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3 238,5</w:t>
            </w:r>
            <w:r>
              <w:rPr>
                <w:color w:val="000000"/>
                <w:highlight w:val="none"/>
              </w:rPr>
              <w:t xml:space="preserve">3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3 951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744,86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908,73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9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Лом железобетонных изделий, отходы железобетона в кусковой форме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(</w:t>
            </w:r>
            <w:r>
              <w:rPr>
                <w:sz w:val="22"/>
                <w:szCs w:val="22"/>
                <w:highlight w:val="none"/>
              </w:rPr>
              <w:t xml:space="preserve">Код ФККО: </w:t>
            </w:r>
            <w:r>
              <w:rPr>
                <w:color w:val="000000"/>
                <w:highlight w:val="none"/>
              </w:rPr>
              <w:t xml:space="preserve">8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22</w:t>
            </w:r>
            <w:r>
              <w:rPr>
                <w:color w:val="000000"/>
                <w:highlight w:val="none"/>
              </w:rPr>
              <w:t xml:space="preserve"> </w:t>
            </w:r>
            <w:r>
              <w:rPr>
                <w:color w:val="000000"/>
                <w:highlight w:val="none"/>
              </w:rPr>
              <w:t xml:space="preserve">301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01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21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  <w:t xml:space="preserve">)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3 114,7</w:t>
            </w:r>
            <w:r>
              <w:rPr>
                <w:color w:val="000000"/>
                <w:highlight w:val="none"/>
              </w:rPr>
              <w:t xml:space="preserve">8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3 800,00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23 360,68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28 500,0</w:t>
            </w:r>
            <w:r>
              <w:rPr>
                <w:color w:val="000000"/>
                <w:highlight w:val="none"/>
              </w:rPr>
              <w:t xml:space="preserve">2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Автотранспорт, грузоподъемностью до 20 т</w:t>
            </w:r>
            <w:r>
              <w:rPr>
                <w:color w:val="000000"/>
                <w:highlight w:val="none"/>
              </w:rPr>
              <w:t xml:space="preserve">, рейс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42 196,72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51 480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42 196,72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none"/>
                <w14:ligatures w14:val="none"/>
              </w:rPr>
            </w:pPr>
            <w:r>
              <w:rPr>
                <w:color w:val="000000"/>
                <w:highlight w:val="none"/>
              </w:rPr>
              <w:t xml:space="preserve">51 480</w:t>
            </w:r>
            <w:r>
              <w:rPr>
                <w:color w:val="000000"/>
                <w:highlight w:val="none"/>
              </w:rPr>
              <w:t xml:space="preserve">,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</w:rPr>
              <w:t xml:space="preserve">0</w:t>
            </w:r>
            <w:r>
              <w:rPr>
                <w:color w:val="000000"/>
                <w:highlight w:val="none"/>
                <w14:ligatures w14:val="none"/>
              </w:rPr>
            </w:r>
            <w:r>
              <w:rPr>
                <w:color w:val="000000"/>
                <w:highlight w:val="none"/>
                <w14:ligatures w14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4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 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10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73 770,49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90 000,00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gridAfter w:val="1"/>
          <w:trHeight w:val="4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 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10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*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40"/>
        <w:rPr>
          <w:i/>
        </w:rPr>
      </w:pPr>
      <w:r>
        <w:rPr>
          <w:i/>
        </w:rPr>
        <w:t xml:space="preserve">* заполняется Участником закупки</w:t>
      </w:r>
      <w:r>
        <w:rPr>
          <w:i/>
        </w:rPr>
      </w:r>
      <w:r>
        <w:rPr>
          <w:i/>
        </w:rPr>
      </w:r>
    </w:p>
    <w:p>
      <w:pPr>
        <w:pStyle w:val="9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0"/>
        <w:jc w:val="both"/>
      </w:pPr>
      <w:r>
        <w:t xml:space="preserve">Руководитель организации      </w:t>
      </w:r>
      <w:r>
        <w:t xml:space="preserve">                   </w:t>
      </w:r>
      <w:r>
        <w:t xml:space="preserve">подпись                                       ФИО</w:t>
      </w:r>
      <w:r/>
    </w:p>
    <w:p>
      <w:pPr>
        <w:rPr>
          <w:rFonts w:eastAsia="MS Mincho"/>
          <w:b/>
        </w:rPr>
      </w:pPr>
      <w:r>
        <w:rPr>
          <w:rFonts w:eastAsia="MS Mincho"/>
          <w:b/>
        </w:rPr>
      </w:r>
      <w:r>
        <w:rPr>
          <w:rFonts w:eastAsia="MS Mincho"/>
          <w:b/>
        </w:rPr>
      </w:r>
      <w:r>
        <w:rPr>
          <w:rFonts w:eastAsia="MS Mincho"/>
          <w:b/>
        </w:rPr>
      </w:r>
    </w:p>
    <w:p>
      <w:pPr>
        <w:pageBreakBefore/>
      </w:pPr>
      <w:r/>
      <w:r/>
    </w:p>
    <w:p>
      <w:pPr>
        <w:pStyle w:val="928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40"/>
        <w:jc w:val="center"/>
        <w:rPr>
          <w:b/>
        </w:rPr>
      </w:pPr>
      <w:r>
        <w:t xml:space="preserve">Технического задания на проведение </w:t>
      </w:r>
      <w:r>
        <w:t xml:space="preserve">сравнения цен</w:t>
      </w:r>
      <w:r>
        <w:t xml:space="preserve"> в электронной форме</w:t>
      </w:r>
      <w:r>
        <w:t xml:space="preserve">, </w:t>
      </w:r>
      <w:r>
        <w:t xml:space="preserve">участниками которого могут быть только субъекты МСП на право </w:t>
      </w:r>
      <w:r>
        <w:t xml:space="preserve">заключения договора </w:t>
      </w:r>
      <w:r>
        <w:t xml:space="preserve">на </w:t>
      </w:r>
      <w:r>
        <w:t xml:space="preserve">оказание</w:t>
      </w:r>
      <w:r>
        <w:t xml:space="preserve"> </w:t>
      </w:r>
      <w:r>
        <w:t xml:space="preserve">услуг </w:t>
      </w:r>
      <w:r>
        <w:t xml:space="preserve">по утилизации </w:t>
      </w:r>
      <w:r>
        <w:t xml:space="preserve">промышленных отходов для ПО </w:t>
      </w:r>
      <w:r>
        <w:t xml:space="preserve">«</w:t>
      </w:r>
      <w:r>
        <w:t xml:space="preserve">Магнитогорские электрические сети</w:t>
      </w:r>
      <w:r>
        <w:t xml:space="preserve">»</w:t>
      </w:r>
      <w:r>
        <w:t xml:space="preserve"> филиала </w:t>
      </w:r>
      <w:r>
        <w:br/>
      </w:r>
      <w:r>
        <w:t xml:space="preserve">ПАО «</w:t>
      </w:r>
      <w:r>
        <w:t xml:space="preserve">Россети</w:t>
      </w:r>
      <w:r>
        <w:t xml:space="preserve"> Урал»-«Челябэнерго»</w:t>
      </w:r>
      <w:r>
        <w:rPr>
          <w:b/>
        </w:rPr>
      </w:r>
      <w:r>
        <w:rPr>
          <w:b/>
        </w:rPr>
      </w:r>
    </w:p>
    <w:p>
      <w:pPr>
        <w:pStyle w:val="940"/>
      </w:pPr>
      <w:r/>
      <w:r/>
    </w:p>
    <w:p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Ведущий специалист </w:t>
            </w:r>
            <w:r>
              <w:rPr>
                <w:rFonts w:eastAsia="SimSun"/>
              </w:rPr>
              <w:t xml:space="preserve">СУОЭХ </w:t>
            </w:r>
            <w:r>
              <w:rPr>
                <w:rFonts w:eastAsia="SimSun"/>
                <w:sz w:val="22"/>
              </w:rPr>
              <w:t xml:space="preserve">филиала ПАО «</w:t>
            </w:r>
            <w:r>
              <w:rPr>
                <w:rFonts w:eastAsia="SimSun"/>
                <w:sz w:val="22"/>
              </w:rPr>
              <w:t xml:space="preserve">Россети</w:t>
            </w:r>
            <w:r>
              <w:rPr>
                <w:rFonts w:eastAsia="SimSun"/>
                <w:sz w:val="22"/>
              </w:rPr>
              <w:t xml:space="preserve"> Урал» –  «Челябэнерго»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Сюзюмов К.А.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006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Начальник </w:t>
            </w:r>
            <w:r>
              <w:rPr>
                <w:color w:val="000000"/>
              </w:rPr>
              <w:t xml:space="preserve">СУОЭХ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Апрелов Д.В.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Начальник УЭ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Семерей Е.Ю.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Начальник УПО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Бояршинова Е.Н.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/>
            <w:bookmarkStart w:id="18" w:name="_GoBack"/>
            <w:r/>
            <w:bookmarkEnd w:id="18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563"/>
        <w:gridCol w:w="7344"/>
        <w:gridCol w:w="1459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Замечания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</w:t>
            </w:r>
            <w:r>
              <w:rPr>
                <w:b/>
                <w:sz w:val="20"/>
                <w:szCs w:val="20"/>
              </w:rPr>
              <w:t xml:space="preserve">ата устранения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28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2050606050509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3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37"/>
      </w:rPr>
      <w:framePr w:wrap="around" w:vAnchor="text" w:hAnchor="margin" w:xAlign="center" w:y="1"/>
    </w:pPr>
    <w:r>
      <w:rPr>
        <w:rStyle w:val="937"/>
      </w:rPr>
      <w:fldChar w:fldCharType="begin"/>
    </w:r>
    <w:r>
      <w:rPr>
        <w:rStyle w:val="937"/>
      </w:rPr>
      <w:instrText xml:space="preserve">PAGE  </w:instrText>
    </w:r>
    <w:r>
      <w:rPr>
        <w:rStyle w:val="937"/>
      </w:rPr>
      <w:fldChar w:fldCharType="end"/>
    </w:r>
    <w:r>
      <w:rPr>
        <w:rStyle w:val="937"/>
      </w:rPr>
    </w:r>
    <w:r>
      <w:rPr>
        <w:rStyle w:val="937"/>
      </w:rPr>
    </w:r>
  </w:p>
  <w:p>
    <w:pPr>
      <w:pStyle w:val="93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76"/>
    <w:lvl w:ilvl="0">
      <w:start w:val="1"/>
      <w:numFmt w:val="decimal"/>
      <w:pStyle w:val="97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74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75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77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78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79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0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7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73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74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75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77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78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79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0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9">
    <w:name w:val="Heading 1"/>
    <w:basedOn w:val="926"/>
    <w:next w:val="926"/>
    <w:link w:val="7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0">
    <w:name w:val="Heading 1 Char"/>
    <w:basedOn w:val="930"/>
    <w:link w:val="759"/>
    <w:uiPriority w:val="9"/>
    <w:rPr>
      <w:rFonts w:ascii="Arial" w:hAnsi="Arial" w:eastAsia="Arial" w:cs="Arial"/>
      <w:sz w:val="40"/>
      <w:szCs w:val="40"/>
    </w:rPr>
  </w:style>
  <w:style w:type="character" w:styleId="761">
    <w:name w:val="Heading 2 Char"/>
    <w:basedOn w:val="930"/>
    <w:link w:val="927"/>
    <w:uiPriority w:val="9"/>
    <w:rPr>
      <w:rFonts w:ascii="Arial" w:hAnsi="Arial" w:eastAsia="Arial" w:cs="Arial"/>
      <w:sz w:val="34"/>
    </w:rPr>
  </w:style>
  <w:style w:type="paragraph" w:styleId="762">
    <w:name w:val="Heading 3"/>
    <w:basedOn w:val="926"/>
    <w:next w:val="926"/>
    <w:link w:val="7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3">
    <w:name w:val="Heading 3 Char"/>
    <w:basedOn w:val="930"/>
    <w:link w:val="762"/>
    <w:uiPriority w:val="9"/>
    <w:rPr>
      <w:rFonts w:ascii="Arial" w:hAnsi="Arial" w:eastAsia="Arial" w:cs="Arial"/>
      <w:sz w:val="30"/>
      <w:szCs w:val="30"/>
    </w:rPr>
  </w:style>
  <w:style w:type="paragraph" w:styleId="764">
    <w:name w:val="Heading 4"/>
    <w:basedOn w:val="926"/>
    <w:next w:val="92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5">
    <w:name w:val="Heading 4 Char"/>
    <w:basedOn w:val="93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66">
    <w:name w:val="Heading 5 Char"/>
    <w:basedOn w:val="930"/>
    <w:link w:val="928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26"/>
    <w:next w:val="926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basedOn w:val="930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69">
    <w:name w:val="Heading 7 Char"/>
    <w:basedOn w:val="930"/>
    <w:link w:val="9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6"/>
    <w:next w:val="926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30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26"/>
    <w:next w:val="926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30"/>
    <w:link w:val="772"/>
    <w:uiPriority w:val="9"/>
    <w:rPr>
      <w:rFonts w:ascii="Arial" w:hAnsi="Arial" w:eastAsia="Arial" w:cs="Arial"/>
      <w:i/>
      <w:iCs/>
      <w:sz w:val="21"/>
      <w:szCs w:val="21"/>
    </w:rPr>
  </w:style>
  <w:style w:type="character" w:styleId="774">
    <w:name w:val="Title Char"/>
    <w:basedOn w:val="930"/>
    <w:link w:val="956"/>
    <w:uiPriority w:val="10"/>
    <w:rPr>
      <w:sz w:val="48"/>
      <w:szCs w:val="48"/>
    </w:rPr>
  </w:style>
  <w:style w:type="paragraph" w:styleId="775">
    <w:name w:val="Subtitle"/>
    <w:basedOn w:val="926"/>
    <w:next w:val="926"/>
    <w:link w:val="776"/>
    <w:uiPriority w:val="11"/>
    <w:qFormat/>
    <w:pPr>
      <w:spacing w:before="200" w:after="200"/>
    </w:pPr>
    <w:rPr>
      <w:sz w:val="24"/>
      <w:szCs w:val="24"/>
    </w:rPr>
  </w:style>
  <w:style w:type="character" w:styleId="776">
    <w:name w:val="Subtitle Char"/>
    <w:basedOn w:val="930"/>
    <w:link w:val="775"/>
    <w:uiPriority w:val="11"/>
    <w:rPr>
      <w:sz w:val="24"/>
      <w:szCs w:val="24"/>
    </w:rPr>
  </w:style>
  <w:style w:type="paragraph" w:styleId="777">
    <w:name w:val="Quote"/>
    <w:basedOn w:val="926"/>
    <w:next w:val="926"/>
    <w:link w:val="778"/>
    <w:uiPriority w:val="29"/>
    <w:qFormat/>
    <w:pPr>
      <w:ind w:left="720" w:right="720"/>
    </w:pPr>
    <w:rPr>
      <w:i/>
    </w:rPr>
  </w:style>
  <w:style w:type="character" w:styleId="778">
    <w:name w:val="Quote Char"/>
    <w:link w:val="777"/>
    <w:uiPriority w:val="29"/>
    <w:rPr>
      <w:i/>
    </w:rPr>
  </w:style>
  <w:style w:type="paragraph" w:styleId="779">
    <w:name w:val="Intense Quote"/>
    <w:basedOn w:val="926"/>
    <w:next w:val="926"/>
    <w:link w:val="7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>
    <w:name w:val="Intense Quote Char"/>
    <w:link w:val="779"/>
    <w:uiPriority w:val="30"/>
    <w:rPr>
      <w:i/>
    </w:rPr>
  </w:style>
  <w:style w:type="character" w:styleId="781">
    <w:name w:val="Header Char"/>
    <w:basedOn w:val="930"/>
    <w:link w:val="938"/>
    <w:uiPriority w:val="99"/>
  </w:style>
  <w:style w:type="character" w:styleId="782">
    <w:name w:val="Footer Char"/>
    <w:basedOn w:val="930"/>
    <w:link w:val="935"/>
    <w:uiPriority w:val="99"/>
  </w:style>
  <w:style w:type="character" w:styleId="783">
    <w:name w:val="Caption Char"/>
    <w:basedOn w:val="930"/>
    <w:link w:val="945"/>
    <w:uiPriority w:val="35"/>
    <w:rPr>
      <w:b/>
      <w:bCs/>
      <w:color w:val="4f81bd" w:themeColor="accent1"/>
      <w:sz w:val="18"/>
      <w:szCs w:val="18"/>
    </w:rPr>
  </w:style>
  <w:style w:type="table" w:styleId="784">
    <w:name w:val="Table Grid Light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>
    <w:name w:val="Grid Table 4 - Accent 1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3">
    <w:name w:val="Grid Table 4 - Accent 2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Grid Table 4 - Accent 3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5">
    <w:name w:val="Grid Table 4 - Accent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Grid Table 4 - Accent 5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7">
    <w:name w:val="Grid Table 4 - Accent 6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8">
    <w:name w:val="Grid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5">
    <w:name w:val="Grid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6">
    <w:name w:val="Grid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7">
    <w:name w:val="Grid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8">
    <w:name w:val="Grid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9">
    <w:name w:val="Grid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0">
    <w:name w:val="Grid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2">
    <w:name w:val="Grid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7">
    <w:name w:val="List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8">
    <w:name w:val="List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9">
    <w:name w:val="List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0">
    <w:name w:val="List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1">
    <w:name w:val="List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2">
    <w:name w:val="List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5">
    <w:name w:val="List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6">
    <w:name w:val="List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7">
    <w:name w:val="List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8">
    <w:name w:val="List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9">
    <w:name w:val="List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0">
    <w:name w:val="List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1">
    <w:name w:val="List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2">
    <w:name w:val="List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83">
    <w:name w:val="List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4">
    <w:name w:val="List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5">
    <w:name w:val="List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6">
    <w:name w:val="List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7">
    <w:name w:val="List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8">
    <w:name w:val="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9">
    <w:name w:val="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0">
    <w:name w:val="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1">
    <w:name w:val="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2">
    <w:name w:val="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3">
    <w:name w:val="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4">
    <w:name w:val="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5">
    <w:name w:val="Bordered &amp; 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6">
    <w:name w:val="Bordered &amp; 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7">
    <w:name w:val="Bordered &amp; 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8">
    <w:name w:val="Bordered &amp; 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9">
    <w:name w:val="Bordered &amp; 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0">
    <w:name w:val="Bordered &amp; 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1">
    <w:name w:val="Bordered &amp; 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2">
    <w:name w:val="Bordered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3">
    <w:name w:val="Bordered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4">
    <w:name w:val="Bordered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5">
    <w:name w:val="Bordered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6">
    <w:name w:val="Bordered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7">
    <w:name w:val="Bordered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8">
    <w:name w:val="Bordered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spacing w:after="40" w:line="240" w:lineRule="auto"/>
    </w:pPr>
    <w:rPr>
      <w:sz w:val="18"/>
    </w:rPr>
  </w:style>
  <w:style w:type="character" w:styleId="910">
    <w:name w:val="Footnote Text Char"/>
    <w:link w:val="909"/>
    <w:uiPriority w:val="99"/>
    <w:rPr>
      <w:sz w:val="18"/>
    </w:rPr>
  </w:style>
  <w:style w:type="character" w:styleId="911">
    <w:name w:val="footnote reference"/>
    <w:basedOn w:val="930"/>
    <w:uiPriority w:val="99"/>
    <w:unhideWhenUsed/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spacing w:after="0" w:line="240" w:lineRule="auto"/>
    </w:pPr>
    <w:rPr>
      <w:sz w:val="20"/>
    </w:rPr>
  </w:style>
  <w:style w:type="character" w:styleId="913">
    <w:name w:val="Endnote Text Char"/>
    <w:link w:val="912"/>
    <w:uiPriority w:val="99"/>
    <w:rPr>
      <w:sz w:val="20"/>
    </w:rPr>
  </w:style>
  <w:style w:type="character" w:styleId="914">
    <w:name w:val="endnote reference"/>
    <w:basedOn w:val="930"/>
    <w:uiPriority w:val="99"/>
    <w:semiHidden/>
    <w:unhideWhenUsed/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ind w:left="0" w:right="0" w:firstLine="0"/>
      <w:spacing w:after="57"/>
    </w:pPr>
  </w:style>
  <w:style w:type="paragraph" w:styleId="916">
    <w:name w:val="toc 2"/>
    <w:basedOn w:val="926"/>
    <w:next w:val="926"/>
    <w:uiPriority w:val="39"/>
    <w:unhideWhenUsed/>
    <w:pPr>
      <w:ind w:left="283" w:right="0" w:firstLine="0"/>
      <w:spacing w:after="57"/>
    </w:pPr>
  </w:style>
  <w:style w:type="paragraph" w:styleId="917">
    <w:name w:val="toc 3"/>
    <w:basedOn w:val="926"/>
    <w:next w:val="926"/>
    <w:uiPriority w:val="39"/>
    <w:unhideWhenUsed/>
    <w:pPr>
      <w:ind w:left="567" w:right="0" w:firstLine="0"/>
      <w:spacing w:after="57"/>
    </w:pPr>
  </w:style>
  <w:style w:type="paragraph" w:styleId="918">
    <w:name w:val="toc 4"/>
    <w:basedOn w:val="926"/>
    <w:next w:val="926"/>
    <w:uiPriority w:val="39"/>
    <w:unhideWhenUsed/>
    <w:pPr>
      <w:ind w:left="850" w:right="0" w:firstLine="0"/>
      <w:spacing w:after="57"/>
    </w:pPr>
  </w:style>
  <w:style w:type="paragraph" w:styleId="919">
    <w:name w:val="toc 5"/>
    <w:basedOn w:val="926"/>
    <w:next w:val="926"/>
    <w:uiPriority w:val="39"/>
    <w:unhideWhenUsed/>
    <w:pPr>
      <w:ind w:left="1134" w:right="0" w:firstLine="0"/>
      <w:spacing w:after="57"/>
    </w:pPr>
  </w:style>
  <w:style w:type="paragraph" w:styleId="920">
    <w:name w:val="toc 6"/>
    <w:basedOn w:val="926"/>
    <w:next w:val="926"/>
    <w:uiPriority w:val="39"/>
    <w:unhideWhenUsed/>
    <w:pPr>
      <w:ind w:left="1417" w:right="0" w:firstLine="0"/>
      <w:spacing w:after="57"/>
    </w:pPr>
  </w:style>
  <w:style w:type="paragraph" w:styleId="921">
    <w:name w:val="toc 7"/>
    <w:basedOn w:val="926"/>
    <w:next w:val="926"/>
    <w:uiPriority w:val="39"/>
    <w:unhideWhenUsed/>
    <w:pPr>
      <w:ind w:left="1701" w:right="0" w:firstLine="0"/>
      <w:spacing w:after="57"/>
    </w:pPr>
  </w:style>
  <w:style w:type="paragraph" w:styleId="922">
    <w:name w:val="toc 8"/>
    <w:basedOn w:val="926"/>
    <w:next w:val="926"/>
    <w:uiPriority w:val="39"/>
    <w:unhideWhenUsed/>
    <w:pPr>
      <w:ind w:left="1984" w:right="0" w:firstLine="0"/>
      <w:spacing w:after="57"/>
    </w:pPr>
  </w:style>
  <w:style w:type="paragraph" w:styleId="923">
    <w:name w:val="toc 9"/>
    <w:basedOn w:val="926"/>
    <w:next w:val="926"/>
    <w:uiPriority w:val="39"/>
    <w:unhideWhenUsed/>
    <w:pPr>
      <w:ind w:left="2268" w:right="0" w:firstLine="0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926"/>
    <w:next w:val="926"/>
    <w:uiPriority w:val="99"/>
    <w:unhideWhenUsed/>
    <w:pPr>
      <w:spacing w:after="0" w:afterAutospacing="0"/>
    </w:pPr>
  </w:style>
  <w:style w:type="paragraph" w:styleId="92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7">
    <w:name w:val="Heading 2"/>
    <w:basedOn w:val="926"/>
    <w:next w:val="926"/>
    <w:link w:val="96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28">
    <w:name w:val="Heading 5"/>
    <w:basedOn w:val="926"/>
    <w:next w:val="926"/>
    <w:link w:val="933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29">
    <w:name w:val="Heading 7"/>
    <w:basedOn w:val="926"/>
    <w:next w:val="926"/>
    <w:link w:val="934"/>
    <w:qFormat/>
    <w:pPr>
      <w:spacing w:before="240" w:after="60"/>
      <w:outlineLvl w:val="6"/>
    </w:pPr>
    <w:rPr>
      <w:rFonts w:eastAsia="SimSun"/>
    </w:rPr>
  </w:style>
  <w:style w:type="character" w:styleId="930" w:default="1">
    <w:name w:val="Default Paragraph Font"/>
    <w:uiPriority w:val="1"/>
    <w:semiHidden/>
    <w:unhideWhenUsed/>
  </w:style>
  <w:style w:type="table" w:styleId="9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2" w:default="1">
    <w:name w:val="No List"/>
    <w:uiPriority w:val="99"/>
    <w:semiHidden/>
    <w:unhideWhenUsed/>
  </w:style>
  <w:style w:type="character" w:styleId="933" w:customStyle="1">
    <w:name w:val="Заголовок 5 Знак"/>
    <w:basedOn w:val="930"/>
    <w:link w:val="928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34" w:customStyle="1">
    <w:name w:val="Заголовок 7 Знак"/>
    <w:basedOn w:val="930"/>
    <w:link w:val="929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35">
    <w:name w:val="Footer"/>
    <w:basedOn w:val="926"/>
    <w:link w:val="93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36" w:customStyle="1">
    <w:name w:val="Нижний колонтитул Знак"/>
    <w:basedOn w:val="930"/>
    <w:link w:val="93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37">
    <w:name w:val="page number"/>
    <w:basedOn w:val="930"/>
  </w:style>
  <w:style w:type="paragraph" w:styleId="938">
    <w:name w:val="Header"/>
    <w:basedOn w:val="926"/>
    <w:link w:val="9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9" w:customStyle="1">
    <w:name w:val="Верхний колонтитул Знак"/>
    <w:basedOn w:val="930"/>
    <w:link w:val="9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>
    <w:name w:val="No Spacing"/>
    <w:link w:val="97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>
    <w:name w:val="List Paragraph"/>
    <w:basedOn w:val="926"/>
    <w:link w:val="972"/>
    <w:uiPriority w:val="34"/>
    <w:qFormat/>
    <w:pPr>
      <w:contextualSpacing/>
      <w:ind w:left="720"/>
    </w:pPr>
  </w:style>
  <w:style w:type="paragraph" w:styleId="942">
    <w:name w:val="Balloon Text"/>
    <w:basedOn w:val="926"/>
    <w:link w:val="94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43" w:customStyle="1">
    <w:name w:val="Текст выноски Знак"/>
    <w:basedOn w:val="930"/>
    <w:link w:val="94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>
    <w:name w:val="Caption"/>
    <w:basedOn w:val="926"/>
    <w:next w:val="926"/>
    <w:link w:val="783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46">
    <w:name w:val="FollowedHyperlink"/>
    <w:basedOn w:val="930"/>
    <w:uiPriority w:val="99"/>
    <w:semiHidden/>
    <w:unhideWhenUsed/>
    <w:rPr>
      <w:color w:val="954f72" w:themeColor="followedHyperlink"/>
      <w:u w:val="single"/>
    </w:rPr>
  </w:style>
  <w:style w:type="paragraph" w:styleId="947">
    <w:name w:val="Body Text Indent"/>
    <w:basedOn w:val="926"/>
    <w:link w:val="948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48" w:customStyle="1">
    <w:name w:val="Основной текст с отступом Знак"/>
    <w:basedOn w:val="930"/>
    <w:link w:val="947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9" w:customStyle="1">
    <w:name w:val="Подпункт"/>
    <w:basedOn w:val="926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50" w:customStyle="1">
    <w:name w:val="Таблица шапка"/>
    <w:basedOn w:val="926"/>
    <w:pPr>
      <w:ind w:left="57" w:right="57"/>
      <w:keepNext/>
      <w:spacing w:before="40" w:after="40"/>
    </w:pPr>
    <w:rPr>
      <w:sz w:val="22"/>
      <w:szCs w:val="20"/>
    </w:rPr>
  </w:style>
  <w:style w:type="paragraph" w:styleId="951" w:customStyle="1">
    <w:name w:val="Таблица текст"/>
    <w:basedOn w:val="926"/>
    <w:pPr>
      <w:ind w:left="57" w:right="57"/>
      <w:spacing w:before="40" w:after="40"/>
    </w:pPr>
    <w:rPr>
      <w:szCs w:val="20"/>
    </w:rPr>
  </w:style>
  <w:style w:type="paragraph" w:styleId="952" w:customStyle="1">
    <w:name w:val="Times 12"/>
    <w:basedOn w:val="926"/>
    <w:pPr>
      <w:ind w:firstLine="567"/>
      <w:jc w:val="both"/>
    </w:pPr>
    <w:rPr>
      <w:szCs w:val="20"/>
      <w:lang w:eastAsia="ar-SA"/>
    </w:rPr>
  </w:style>
  <w:style w:type="paragraph" w:styleId="953" w:customStyle="1">
    <w:name w:val="StGen0"/>
    <w:basedOn w:val="926"/>
    <w:next w:val="956"/>
    <w:link w:val="954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54" w:customStyle="1">
    <w:name w:val="Название Знак"/>
    <w:link w:val="953"/>
    <w:rPr>
      <w:rFonts w:eastAsia="MS Mincho"/>
      <w:b/>
      <w:sz w:val="28"/>
      <w:lang w:val="ru-RU" w:eastAsia="ru-RU" w:bidi="ar-SA"/>
    </w:rPr>
  </w:style>
  <w:style w:type="paragraph" w:styleId="955" w:customStyle="1">
    <w:name w:val="Пункт б/н"/>
    <w:basedOn w:val="926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56">
    <w:name w:val="Title"/>
    <w:basedOn w:val="926"/>
    <w:next w:val="926"/>
    <w:link w:val="95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57" w:customStyle="1">
    <w:name w:val="Заголовок Знак"/>
    <w:basedOn w:val="930"/>
    <w:link w:val="95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58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9" w:customStyle="1">
    <w:name w:val="Абзац списка1"/>
    <w:basedOn w:val="926"/>
    <w:link w:val="960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60" w:customStyle="1">
    <w:name w:val="List Paragraph Char"/>
    <w:link w:val="959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61" w:customStyle="1">
    <w:name w:val="Заголовок 2 Знак"/>
    <w:basedOn w:val="930"/>
    <w:link w:val="927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62" w:customStyle="1">
    <w:name w:val="StGen1"/>
    <w:basedOn w:val="926"/>
    <w:next w:val="956"/>
    <w:qFormat/>
    <w:pPr>
      <w:jc w:val="center"/>
    </w:pPr>
    <w:rPr>
      <w:b/>
      <w:sz w:val="28"/>
      <w:szCs w:val="20"/>
    </w:rPr>
  </w:style>
  <w:style w:type="paragraph" w:styleId="96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64">
    <w:name w:val="annotation reference"/>
    <w:basedOn w:val="930"/>
    <w:uiPriority w:val="99"/>
    <w:unhideWhenUsed/>
    <w:rPr>
      <w:sz w:val="16"/>
      <w:szCs w:val="16"/>
    </w:rPr>
  </w:style>
  <w:style w:type="paragraph" w:styleId="965">
    <w:name w:val="annotation text"/>
    <w:basedOn w:val="926"/>
    <w:link w:val="966"/>
    <w:uiPriority w:val="99"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66" w:customStyle="1">
    <w:name w:val="Текст примечания Знак"/>
    <w:basedOn w:val="930"/>
    <w:link w:val="965"/>
    <w:uiPriority w:val="99"/>
    <w:rPr>
      <w:sz w:val="20"/>
      <w:szCs w:val="20"/>
    </w:rPr>
  </w:style>
  <w:style w:type="paragraph" w:styleId="967">
    <w:name w:val="annotation subject"/>
    <w:basedOn w:val="965"/>
    <w:next w:val="965"/>
    <w:link w:val="968"/>
    <w:uiPriority w:val="99"/>
    <w:semiHidden/>
    <w:unhideWhenUsed/>
    <w:pPr>
      <w:spacing w:after="0"/>
    </w:pPr>
    <w:rPr>
      <w:rFonts w:ascii="Times New Roman" w:hAnsi="Times New Roman" w:eastAsia="Times New Roman" w:cs="Times New Roman"/>
      <w:b/>
      <w:bCs/>
      <w:lang w:eastAsia="ru-RU"/>
    </w:rPr>
  </w:style>
  <w:style w:type="character" w:styleId="968" w:customStyle="1">
    <w:name w:val="Тема примечания Знак"/>
    <w:basedOn w:val="966"/>
    <w:link w:val="96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69">
    <w:name w:val="Body Text Indent 3"/>
    <w:basedOn w:val="926"/>
    <w:link w:val="970"/>
    <w:uiPriority w:val="99"/>
    <w:pPr>
      <w:ind w:left="283"/>
      <w:spacing w:after="120"/>
    </w:pPr>
    <w:rPr>
      <w:sz w:val="16"/>
      <w:szCs w:val="16"/>
    </w:rPr>
  </w:style>
  <w:style w:type="character" w:styleId="970" w:customStyle="1">
    <w:name w:val="Основной текст с отступом 3 Знак"/>
    <w:basedOn w:val="930"/>
    <w:link w:val="969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71" w:customStyle="1">
    <w:name w:val="Без интервала Знак"/>
    <w:link w:val="94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2" w:customStyle="1">
    <w:name w:val="Абзац списка Знак"/>
    <w:basedOn w:val="930"/>
    <w:link w:val="94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74" w:customStyle="1">
    <w:name w:val="2-з"/>
    <w:basedOn w:val="926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75" w:customStyle="1">
    <w:name w:val="3-з"/>
    <w:link w:val="981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76" w:customStyle="1">
    <w:name w:val="нумерация"/>
    <w:uiPriority w:val="99"/>
    <w:pPr>
      <w:numPr>
        <w:ilvl w:val="0"/>
        <w:numId w:val="23"/>
      </w:numPr>
    </w:pPr>
  </w:style>
  <w:style w:type="paragraph" w:styleId="977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8" w:customStyle="1">
    <w:name w:val="5-з"/>
    <w:basedOn w:val="926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79" w:customStyle="1">
    <w:name w:val="6-буквы"/>
    <w:basedOn w:val="926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80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1" w:customStyle="1">
    <w:name w:val="3-з Знак"/>
    <w:basedOn w:val="930"/>
    <w:link w:val="975"/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982">
    <w:name w:val="Table Grid"/>
    <w:basedOn w:val="9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Syuzyumov-KA</cp:lastModifiedBy>
  <cp:revision>16</cp:revision>
  <dcterms:created xsi:type="dcterms:W3CDTF">2025-10-07T11:07:00Z</dcterms:created>
  <dcterms:modified xsi:type="dcterms:W3CDTF">2026-07-23T10:42:43Z</dcterms:modified>
</cp:coreProperties>
</file>